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Лечебное дело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Лечебное дело | Записей: 1 | Кейс: 2 | Вопросов: 12</w:t>
      </w:r>
    </w:p>
    <w:p>
      <w:r>
        <w:br w:type="page"/>
      </w:r>
    </w:p>
    <w:p>
      <w:pPr>
        <w:pStyle w:val="Heading1"/>
      </w:pPr>
      <w:r>
        <w:t>Лечебное дело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Лечебное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47 лет обратилась к участковому врачу-терапевту поскольку при профилактическом медицинском осмотре у нее было выявлено повышение АД до 170/100 мм рт. ст.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Артериальное давление в последние 10 лет не измеряла, каких-либо нарушений самочувствия не испытывала.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хронических заболеваний нет</w:t>
        <w:br/>
        <w:t>*</w:t>
        <w:tab/>
        <w:t>не курит, алкоголем не злоупотребляет</w:t>
        <w:br/>
        <w:t>*</w:t>
        <w:tab/>
        <w:t>профессиональных вредностей не имеет</w:t>
        <w:br/>
        <w:t>*</w:t>
        <w:tab/>
        <w:t>аллергических реакций не было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Cостояние удовлетворительное. Рост 170 см, масса тела 62 кг. Кожные покровы обычной окраски и влажности. Периферических отеков нет. Дыхание везикулярное, хрипов нет. ЧДД 16 в 1 мин. Тоны сердца аритмичные, ЧСС 96 в 1 мин, пульс 84 в 1 мин, АД при первом измерении 175/100 мм рт. ст., при повторном – 170/100 мм рт. ст. Живот мягкий, безболезненный. Печень по краю реберной дуги.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для постановки диагноза инструментальным методам исследования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регистрация ЭКГ в 12 отведениях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чреспищеводное электрофизиологическое исследование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чреспищеводное эхокардиографическое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амбулаторное (холтеровское) мониторирование ЭКГ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трансторакальное эхокардиографическое исследование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нагрузочную пробу под контролем ЭКГ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регистрация ЭКГ в 12 отведениях; амбулаторное (холтеровское) мониторирование ЭКГ; трансторакальное эхокардиографическое исследование</w:t>
      </w:r>
    </w:p>
    <w:p>
      <w:pPr>
        <w:ind w:left="504"/>
      </w:pPr>
      <w:r>
        <w:rPr>
          <w:b w:val="0"/>
          <w:i/>
        </w:rPr>
        <w:t>Регистрация ЭКГ в 12-ти отведениях в покое рекомендована пациентам с любыми формами трепетания и ФП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проведение электрокардиографии (ЭКГ) всем больным АГ для выявления гипертрофии левого желудочка</w:t>
        <w:br/>
        <w:br/>
      </w:r>
      <w:hyperlink r:id="rId11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 "Артериальная гипертензия у взрослых", 2020г.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Холтеровское мониторирование позволяет выявить частые (ежедневные) пароксизмы аритмии, в том числе короткие эпизоды ФП.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Эхокардиографическое исследование сердца рекомендовано всем больным ФП для оценки наличия признаков структурного поражения миокарда и клапанов сердца.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инструментальных методов обследования</w:t>
      </w:r>
    </w:p>
    <w:p>
      <w:pPr>
        <w:pStyle w:val="Heading3"/>
      </w:pPr>
      <w:r>
        <w:t>3.1. Регистрация ЭКГ в 12 отведениях</w:t>
      </w:r>
    </w:p>
    <w:p>
      <w:r>
        <w:drawing>
          <wp:inline xmlns:a="http://schemas.openxmlformats.org/drawingml/2006/main" xmlns:pic="http://schemas.openxmlformats.org/drawingml/2006/picture">
            <wp:extent cx="5303520" cy="321152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c9a6f786f8c91d63345774753f182b593755362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1152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Регистрация ЭКГ в 12 отведениях.jpg</w:t>
      </w:r>
    </w:p>
    <w:p>
      <w:pPr>
        <w:pStyle w:val="Heading3"/>
      </w:pPr>
      <w:r>
        <w:t>3.2. Амбулаторное (холтеровское) мониторирование ЭКГ</w:t>
      </w:r>
    </w:p>
    <w:p>
      <w:r>
        <w:drawing>
          <wp:inline xmlns:a="http://schemas.openxmlformats.org/drawingml/2006/main" xmlns:pic="http://schemas.openxmlformats.org/drawingml/2006/picture">
            <wp:extent cx="5303520" cy="3452189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d4c54afff61da08ee0a685e6634b6b87a989496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521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Амбулаторное (холтеровское) мониторирование ЭКГ.jpg</w:t>
      </w:r>
    </w:p>
    <w:p>
      <w:pPr>
        <w:pStyle w:val="Heading3"/>
      </w:pPr>
      <w:r>
        <w:t>3.3. Трансторакальное эхокардиографическое исследование</w:t>
      </w:r>
    </w:p>
    <w:p>
      <w:pPr>
        <w:spacing w:after="58"/>
      </w:pPr>
      <w:r>
        <w:rPr>
          <w:b w:val="0"/>
          <w:i w:val="0"/>
        </w:rPr>
        <w:t>Аорта уплотнена, диаметр 3,6 см(N≤3,3). Аортальный клапан трехстворчатый, амплитуда раскрытия 1,9 см(N&gt;1,5), кровоток 1,4 м/с(N&lt;1,7), регургитации нет. Толщина межжелудочковой перегородки 1,3 см (N&lt;1,0), толщина задней стенки 1,2 см (N&lt;1,0), конечный диастолический размер 4,8 см(N&lt;5,3), индекс массы миокарда левого желудочка 135 г/м2 (N≤95), фракция выброса 63 %(N≥54), нарушение диастолической функции 1-й степени. Нарушений локальной сократимости не выявлено. Митральный клапан не изменен, кровоток 1,0 м/с (N&lt;1,3), регургитация 1 степени (N – не выше 1 степени). Размер левого предсердия 3,8 см (≤3,8), объем 40 мл (≤52). Диаметр легочной артерии 2,0 см(N&lt;2,1), систолическое давление в легочной артерии 25 мм рт. ст. (N&lt;30). Кровоток на клапане легочной артерии 0,8 м/сек (N&lt;0,9), регургитация 1 степени (N – не выше 1 степени). Правый желудочек 2,2 см (N≤3,0). Трикуспидальный клапан не изменен, кровоток 0,65 м/сек (N&lt;0,7), регургитация 1 степени (N – не выше 1 степени). Размер правого предсердия 3,4 см (N&lt;4,0), объем 35 мл (N&lt;50). Нижняя полая вена на выдохе 1,6 см (N≤2,2), на вдохе 0,6 см  (N – спадение в вдохе &gt;50 %). Полость перикарда не изменена.</w:t>
      </w:r>
    </w:p>
    <w:p>
      <w:pPr>
        <w:pStyle w:val="Heading3"/>
      </w:pPr>
      <w:r>
        <w:t>3.5. Нагрузочная проба под контролем ЭКГ</w:t>
      </w:r>
    </w:p>
    <w:p>
      <w:pPr>
        <w:spacing w:after="58"/>
      </w:pPr>
      <w:r>
        <w:rPr>
          <w:b w:val="0"/>
          <w:i w:val="0"/>
        </w:rPr>
        <w:t>Исходно: ЧСС 84 в 1 мин, АД 130/70 мм рт. ст. +</w:t>
        <w:br/>
        <w:t>Нагрузка 50 Вт 3 минуты: ЧСС 132 в 1 мин, АД 160/90 мм рт. ст. +</w:t>
        <w:br/>
        <w:t>Нагрузка 100 Вт 1 минута: ЧСС 160 в 1 мин, АД 180/90 мм рт. ст. +</w:t>
        <w:br/>
        <w:t>Проба прекращена из-за достижения субмаксимальной ЧСС. Болей и девиации сегмента ST нет. Толерантность к нагрузке низкая.</w:t>
      </w:r>
    </w:p>
    <w:p>
      <w:pPr>
        <w:pStyle w:val="Heading3"/>
      </w:pPr>
      <w:r>
        <w:t>3.6. Чреспищеводное электрофизиологическое исследование</w:t>
      </w:r>
    </w:p>
    <w:p>
      <w:pPr>
        <w:spacing w:after="58"/>
      </w:pPr>
      <w:r>
        <w:rPr>
          <w:b w:val="0"/>
          <w:i w:val="0"/>
        </w:rPr>
        <w:t>*Учащающая ЭКС.* Амплитудой 20–24 вольт частотой от 100 до 150 по 1 минуте ВВФСУ 1440 мс, КВВФСУ 440 мс, точка Венкебаха 150 имп/мин, депрессии сегмента ST нет. +</w:t>
        <w:br/>
        <w:t>*Программированная ЭКС.* На базовом ритме 100 имп/мин с задержкой ST1–ST2 от 540 до 380. Прирост ST2R плавный. Желудочковые ответы узкие. ЭРП АВС 440 мс. ЭРП ДПП 380 мс. Нарушений ритма не выявлено.</w:t>
      </w:r>
    </w:p>
    <w:p>
      <w:pPr>
        <w:spacing w:after="58"/>
      </w:pPr>
      <w:r>
        <w:rPr>
          <w:b w:val="0"/>
          <w:i w:val="0"/>
        </w:rPr>
        <w:t>*Заключение.* Признаков антеградных и ретроградных ДПП не выявлено. Признаков ТИМ и нарушения функции СА и АВ узлов нет.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выяснения причины аритмии рекомендуется определение в крови уровня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Д-димера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тиреоидных гормонов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общего холестерина и его фракций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креатинина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трансаминаз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калия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тиреоидных гормонов; калия</w:t>
      </w:r>
    </w:p>
    <w:p>
      <w:pPr>
        <w:ind w:left="504"/>
      </w:pPr>
      <w:r>
        <w:rPr>
          <w:b w:val="0"/>
          <w:i/>
        </w:rPr>
        <w:t>Нарушение функции щитовидной железы. В последних эпидемиологических исследованиях гипертиреоз или гипотиреоз у пациентов с ФП диагностировали достаточно редко [9,10], однако не только нарушения, но и субклиническая дисфункция щитовидной железы также может вносить вклад в развитие аритмии.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Гипокалиемия способствует развитию ФП.</w:t>
        <w:br/>
        <w:br/>
        <w:t>Клинические рекомендации Министерства здравоохранения Российской Федерации "Фибрилляция и трепетание предсердий у взрослых", 2016г.</w:t>
        <w:br/>
        <w:br/>
      </w:r>
      <w:hyperlink r:id="rId18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 "Фибрилляция и трепетание предсердий у взрослых", 2016г.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Тиреоидные гормоны</w:t>
      </w:r>
    </w:p>
    <w:p>
      <w:pPr>
        <w:spacing w:after="58"/>
      </w:pPr>
      <w:r>
        <w:rPr>
          <w:b w:val="0"/>
          <w:i w:val="0"/>
        </w:rPr>
        <w:t>Тиреотропный гормон 0,3 мЕд/л (N: 0,25–3,5) +</w:t>
        <w:br/>
        <w:t>Тироксин свободный 17 пмоль/л (N: 10–27)</w:t>
      </w:r>
    </w:p>
    <w:p>
      <w:pPr>
        <w:pStyle w:val="Heading3"/>
      </w:pPr>
      <w:r>
        <w:t>5.2. Калий</w:t>
      </w:r>
    </w:p>
    <w:p>
      <w:pPr>
        <w:spacing w:after="58"/>
      </w:pPr>
      <w:r>
        <w:rPr>
          <w:b w:val="0"/>
          <w:i w:val="0"/>
        </w:rPr>
        <w:t>Калий 4,1 ммоль/л (N: 3,5–5,0)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оценке общего сердечно-сосудитого риска у больных артериальной гиперетнзией используются результаты определения в крови уровня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общего холестерина и его фракций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трансаминаз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мочевой кислоты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тропонина 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общего холестерина и его фракций</w:t>
      </w:r>
    </w:p>
    <w:p>
      <w:pPr>
        <w:ind w:left="504"/>
      </w:pPr>
      <w:r>
        <w:rPr>
          <w:b w:val="0"/>
          <w:i/>
        </w:rPr>
        <w:t>Дислипидемия относится к числу факторов сердечно-сосудистого риска у больных артериальной гипертензией</w:t>
        <w:br/>
        <w:br/>
      </w:r>
      <w:hyperlink r:id="rId11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 "Артериальная гипертензия у взрослых", 2020г.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Общий холестерин и его фракции</w:t>
      </w:r>
    </w:p>
    <w:p>
      <w:pPr>
        <w:spacing w:after="58"/>
      </w:pPr>
      <w:r>
        <w:rPr>
          <w:b w:val="0"/>
          <w:i w:val="0"/>
        </w:rPr>
        <w:t xml:space="preserve">Общий холестерин </w:t>
        <w:tab/>
        <w:t>4,5 ммоль/л (N&lt;5,0) +</w:t>
        <w:br/>
        <w:t xml:space="preserve">ЛПВП </w:t>
        <w:tab/>
        <w:tab/>
        <w:t>1,2 ммоль/л (N&gt;1,0) +</w:t>
        <w:br/>
        <w:t xml:space="preserve">ЛПНП </w:t>
        <w:tab/>
        <w:tab/>
        <w:t>2,5 ммоль/л (N&lt;3,0) +</w:t>
        <w:br/>
        <w:t xml:space="preserve">Триглицериды  </w:t>
        <w:tab/>
        <w:t>1,7 ммоль/л (N&lt;1,7)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Выявленное нарушение ритма является пароксизмальной(-ым)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фибрилляцией предсердий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наджелудочковой тахикардией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трепетанием предсердий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фибрилляцией желудочков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фибрилляцией предсердий</w:t>
      </w:r>
    </w:p>
    <w:p>
      <w:pPr>
        <w:ind w:left="504"/>
      </w:pPr>
      <w:r>
        <w:rPr>
          <w:b w:val="0"/>
          <w:i/>
        </w:rPr>
        <w:t>Характерными ЭКГ-признаками ФП являются: отсутствие зубцов Р, наличие разноамплитудных, полиморфных волн ff, переходящих одна в другую без чёткой изолинии между ними, а также абсолютная хаотичность и нерегулярность ритма желудочков.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Пароксизмальной именуют повторно возникающую (2 и более эпизодов) ФП, способную самостоятельно прекращаться до истечения 7 суток от момента начала приступа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Диагноз</w:t>
      </w:r>
    </w:p>
    <w:p>
      <w:pPr>
        <w:spacing w:after="58"/>
      </w:pPr>
      <w:r>
        <w:rPr>
          <w:b w:val="0"/>
          <w:i w:val="0"/>
        </w:rPr>
        <w:t>Пароксизмальная фибрилляция предсердий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Результаты проведенного обследования позволяют считать, что аритмия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идиопатической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следствием заболевания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следствием ишемической болезни сердца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следствием артериальной гипертонии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следствием артериальной гипертонии</w:t>
      </w:r>
    </w:p>
    <w:p>
      <w:pPr>
        <w:ind w:left="504"/>
      </w:pPr>
      <w:r>
        <w:rPr>
          <w:b w:val="0"/>
          <w:i/>
        </w:rPr>
        <w:t>Проведенное исследование не выявило иных кардиальных или внекардиальных причин развития аритмии, кроме АГ, которая может сопровождается развитием ФП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Оценка риска тромбоэмболических осложнений по шкале CHA2DS2-VASc равна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Артериальная гипертензия и женский пол.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Медикаментозная профилактика тромбоэмболических осложнений у данной пациентки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возможна, но не обязательна (класс рекомендация IIa)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обязательна (класс рекомендаций I)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желательна (класс рекомендаций III)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возможна, но не желательна (класс рекомендаций IIb)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возможна, но не обязательна (класс рекомендация IIa)</w:t>
      </w:r>
    </w:p>
    <w:p>
      <w:pPr>
        <w:ind w:left="504"/>
      </w:pPr>
      <w:r>
        <w:rPr>
          <w:b w:val="0"/>
          <w:i/>
        </w:rPr>
        <w:t>Назначение пероральных антикоагулянтов можно рекомендовать женщинам с ФП или ТП, имеющим 2 балла по шкале CHA2DS2-VASc (класс рекомендаций IIa)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Учитывая наличие пароксизмальной фибрилляции предсердий, для лечения артериальной гипертензии целесообразно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бета-блокаторы или недигидропиридиновые антагонисты кальция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ингибиторы АПФ или блокаторы рецепторов ангиотензина 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бета-блокаторы или дигидропиридиновые антагонисты кальция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тиазидные диуретики или антагонисты альдостерона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ингибиторы АПФ или блокаторы рецепторов ангиотензина II</w:t>
      </w:r>
    </w:p>
    <w:p>
      <w:pPr>
        <w:ind w:left="504"/>
      </w:pPr>
      <w:r>
        <w:rPr>
          <w:b w:val="0"/>
          <w:i/>
        </w:rPr>
        <w:t>Пациентам с диагностированной ФП и АГ рекомендовано назначение ингибиторов АПФ или антагонистов ангиотензина II в сочетании с ААТ с целью снижения вероятности рецидивов ФП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14. Дополнительная информация</w:t>
      </w:r>
    </w:p>
    <w:p>
      <w:pPr>
        <w:spacing w:after="58"/>
      </w:pPr>
      <w:r>
        <w:rPr>
          <w:b w:val="0"/>
          <w:i w:val="0"/>
        </w:rPr>
        <w:t>Спустя неделю после консультации врачом-терапевтом пациентка была вынуждена вызвать СМП из-за резкого ухудшения состояния.</w:t>
      </w:r>
    </w:p>
    <w:p>
      <w:pPr>
        <w:spacing w:after="58"/>
      </w:pPr>
      <w:r>
        <w:rPr>
          <w:b w:val="0"/>
          <w:i w:val="0"/>
        </w:rPr>
        <w:t>ЖАЛОБЫ: на учащенное сердцебиение, нехватку воздуха - "задыхается", предобморочное состояние.</w:t>
      </w:r>
    </w:p>
    <w:p>
      <w:pPr>
        <w:spacing w:after="58"/>
      </w:pPr>
      <w:r>
        <w:rPr>
          <w:b w:val="0"/>
          <w:i w:val="0"/>
        </w:rPr>
        <w:t>Известно, что ухудшение состояния в течение 1-го часа, когда на фоне высокого АД - 180/100 мм рт.ст. возникло нерегулярное сердцебиение. При попытки самостоятельно измерить АД, пульс, прибор для измерения давления каждый раз выдавал разные нереальные значения. Гипотензивные препараты, рекомендованные терапевтом, не принимала.</w:t>
      </w:r>
    </w:p>
    <w:p>
      <w:pPr>
        <w:spacing w:after="58"/>
      </w:pPr>
      <w:r>
        <w:rPr>
          <w:b w:val="0"/>
          <w:i w:val="0"/>
        </w:rPr>
        <w:t>ОБЪЕКТИВНО:</w:t>
        <w:br/>
        <w:t>Cостояние тяжелое. Положение ортопное. Кожные покровы бледные, влажные. Периферических отеков нет. Дыхание клокочущее, дистанционные хрипы. Аускультативно: жесткое дыхание влажные хрипы выслушиваются над всей поверхностью легких. ЧДД 30 в 1 мин. Тоны сердца аритмичные, ЧСС 176 в 1 мин, пульс 85 в 1 мин, АД 80 /50 мм рт. ст. Живот мягкий, безболезненный. Печень по краю реберной дуги.</w:t>
      </w:r>
    </w:p>
    <w:p>
      <w:pPr>
        <w:spacing w:after="58"/>
      </w:pPr>
      <w:r>
        <w:rPr>
          <w:b w:val="0"/>
          <w:i w:val="0"/>
        </w:rPr>
        <w:t>SpO2 - 86%</w:t>
      </w:r>
    </w:p>
    <w:p>
      <w:pPr>
        <w:spacing w:after="58"/>
      </w:pPr>
      <w:r>
        <w:rPr>
          <w:b w:val="0"/>
          <w:i w:val="0"/>
        </w:rPr>
        <w:t>На ЭКГ: фибрилляция предсердий с ЧЖС 146-177 в мин, острых очаговых изменений нет.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Пациентке показана экстренная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электрическая кардиоверсия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тромболитическая 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транспортировка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медикаментозная кардиоверсия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электрическая кардиоверсия</w:t>
      </w:r>
    </w:p>
    <w:p>
      <w:pPr>
        <w:ind w:left="504"/>
      </w:pPr>
      <w:r>
        <w:rPr>
          <w:b w:val="0"/>
          <w:i/>
        </w:rPr>
        <w:t>При ФП, сопровождающейся острыми нарушениями гемодинамики, рекомендована экстренная электрическая кардиоверсия.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проведения электрической кардиоверсии бифазным дефибриллятором необходимо выбрать энергию разряда  +__________________+ Дж.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120-150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40-60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70-110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160-200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120-150</w:t>
      </w:r>
    </w:p>
    <w:p>
      <w:pPr>
        <w:ind w:left="504"/>
      </w:pPr>
      <w:r>
        <w:rPr>
          <w:b w:val="0"/>
          <w:i/>
        </w:rPr>
        <w:t>При фибрилляции предсердий с использованием бифазного дефибриллятора необходимо выбрать энергию в 120-150 Дж</w:t>
        <w:br/>
        <w:br/>
      </w:r>
      <w:hyperlink r:id="rId3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Клинические рекомендации Острый инфаркт миокарда с подъемом сегмента ST электрокардиограммы, 2016.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Перед проведением электрической кардиоверсии необходимо ввести +___________________+ в лечебных дозах.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дигоксин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новые оральные антикоагулянты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гепарин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лидокаин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гепарин</w:t>
      </w:r>
    </w:p>
    <w:p>
      <w:pPr>
        <w:ind w:left="504"/>
      </w:pPr>
      <w:r>
        <w:rPr>
          <w:b w:val="0"/>
          <w:i/>
        </w:rPr>
        <w:t>Если планируется кардиоверсия в связи с эпизодом ФП длительностью менее 48 часов пациенту, который не получает антикоагулянтную терапию, рекомендовано как можно быстрее начать введение гепарина натрия** или эноксапарина натрия** в дозах, одобренных для лечения венозного тромбоза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Пациентке после восстановления синусового ритма показана +______+ - х недельная антикоагуляция с последующей оценкой риска тромбоэмболических осложнений и необходимости длительной антикоагулянтной терапии.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После проведения любой кардиоверсии рекомендовано продолжить антикоагулянтную терапию в течение как минимум 4-х недель.</w:t>
        <w:br/>
        <w:br/>
      </w:r>
      <w:hyperlink r:id="rId9">
        <w:r>
          <w:rPr>
            <w:color w:val="0F766E"/>
            <w:u w:val="single"/>
          </w:rPr>
          <w:t>Клинические рекомендации, 2020. Фибрилляция и трепетание предсердий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888_20/#paragraph_grqbba" TargetMode="External"/><Relationship Id="rId10" Type="http://schemas.openxmlformats.org/officeDocument/2006/relationships/hyperlink" Target="https://library.mededtech.ru/rest/documents/888_20/#list_item_4jbrge" TargetMode="External"/><Relationship Id="rId11" Type="http://schemas.openxmlformats.org/officeDocument/2006/relationships/hyperlink" Target="https://library.mededtech.ru/rest/documents/KP62/#paragraph_76279l" TargetMode="External"/><Relationship Id="rId12" Type="http://schemas.openxmlformats.org/officeDocument/2006/relationships/hyperlink" Target="https://library.mededtech.ru/rest/documents/KP62/#list_item_lk1qcl" TargetMode="External"/><Relationship Id="rId13" Type="http://schemas.openxmlformats.org/officeDocument/2006/relationships/hyperlink" Target="https://library.mededtech.ru/rest/documents/888_20/#list_item_agje27" TargetMode="External"/><Relationship Id="rId14" Type="http://schemas.openxmlformats.org/officeDocument/2006/relationships/hyperlink" Target="https://library.mededtech.ru/rest/documents/888_20/#list_item_n2v0fa" TargetMode="External"/><Relationship Id="rId15" Type="http://schemas.openxmlformats.org/officeDocument/2006/relationships/image" Target="media/image1.jpg"/><Relationship Id="rId16" Type="http://schemas.openxmlformats.org/officeDocument/2006/relationships/image" Target="media/image2.jpg"/><Relationship Id="rId17" Type="http://schemas.openxmlformats.org/officeDocument/2006/relationships/hyperlink" Target="https://library.mededtech.ru/rest/documents/888_20/#list_item_t7dp6k" TargetMode="External"/><Relationship Id="rId18" Type="http://schemas.openxmlformats.org/officeDocument/2006/relationships/hyperlink" Target="https://library.mededtech.ru/rest/documents/cr_888/" TargetMode="External"/><Relationship Id="rId19" Type="http://schemas.openxmlformats.org/officeDocument/2006/relationships/hyperlink" Target="https://library.mededtech.ru/rest/documents/cr_888/#paragraph_kd73o" TargetMode="External"/><Relationship Id="rId20" Type="http://schemas.openxmlformats.org/officeDocument/2006/relationships/hyperlink" Target="https://library.mededtech.ru/rest/documents/888_20/#list_item_48na68" TargetMode="External"/><Relationship Id="rId21" Type="http://schemas.openxmlformats.org/officeDocument/2006/relationships/hyperlink" Target="https://library.mededtech.ru/rest/documents/KP62/#list_item_qd7meu" TargetMode="External"/><Relationship Id="rId22" Type="http://schemas.openxmlformats.org/officeDocument/2006/relationships/hyperlink" Target="https://library.mededtech.ru/rest/documents/888_20/#paragraph_12j0ol" TargetMode="External"/><Relationship Id="rId23" Type="http://schemas.openxmlformats.org/officeDocument/2006/relationships/hyperlink" Target="https://library.mededtech.ru/rest/documents/888_20/#paragraph_7u29i0" TargetMode="External"/><Relationship Id="rId24" Type="http://schemas.openxmlformats.org/officeDocument/2006/relationships/hyperlink" Target="https://library.mededtech.ru/rest/documents/888_20/#list_item_ce24il" TargetMode="External"/><Relationship Id="rId25" Type="http://schemas.openxmlformats.org/officeDocument/2006/relationships/hyperlink" Target="https://library.mededtech.ru/rest/documents/888_20/#table_p1" TargetMode="External"/><Relationship Id="rId26" Type="http://schemas.openxmlformats.org/officeDocument/2006/relationships/hyperlink" Target="https://library.mededtech.ru/rest/documents/888_20/#list_item_rgc626" TargetMode="External"/><Relationship Id="rId27" Type="http://schemas.openxmlformats.org/officeDocument/2006/relationships/hyperlink" Target="https://library.mededtech.ru/rest/documents/888_20/#list_item_rs16fo" TargetMode="External"/><Relationship Id="rId28" Type="http://schemas.openxmlformats.org/officeDocument/2006/relationships/hyperlink" Target="https://library.mededtech.ru/rest/documents/888_20/#list_item_5p0sg1" TargetMode="External"/><Relationship Id="rId29" Type="http://schemas.openxmlformats.org/officeDocument/2006/relationships/hyperlink" Target="https://library.mededtech.ru/rest/documents/888_20/#table_P8" TargetMode="External"/><Relationship Id="rId30" Type="http://schemas.openxmlformats.org/officeDocument/2006/relationships/hyperlink" Target="https://library.mededtech.ru/rest/documents/cr_135/#&#1087;&#1088;&#1080;&#1083;&#1086;&#1078;&#1077;&#1085;&#1080;&#1077;_&#1075;10_&#1085;&#1072;&#1095;&#1072;&#1083;&#1100;&#1085;&#1072;&#1103;_&#1101;&#1085;&#1077;&#1088;&#1075;&#1080;&#1103;_&#1101;&#1083;&#1077;&#1082;&#1090;&#1088;&#1080;&#1095;&#1077;&#1089;&#1082;&#1086;&#1075;&#1086;_&#1088;&#1072;&#1079;&#1088;&#1103;&#1076;&#1072;_&#1087;&#1088;&#1080;_&#1091;&#1089;&#1090;&#1088;&#1072;&#1085;&#1077;&#1085;&#1080;&#1080;_&#1072;&#1088;&#1080;&#1090;&#1084;&#1080;&#1081;_&#1085;&#1077;_&#1089;&#1074;&#1103;&#1079;&#1072;&#1085;&#1085;&#1099;&#1093;_&#1089;_&#1086;&#1089;&#1090;&#1072;&#1085;&#1086;&#1074;&#1082;&#1086;&#1081;_&#1082;&#1088;&#1086;&#1074;&#1086;&#1086;&#1073;&#1088;&#1072;&#1097;&#1077;&#1085;&#1080;&#1103;" TargetMode="External"/><Relationship Id="rId31" Type="http://schemas.openxmlformats.org/officeDocument/2006/relationships/hyperlink" Target="https://library.mededtech.ru/rest/documents/cr_135/#&#1086;&#1089;&#1090;&#1088;&#1099;&#1081;_&#1080;&#1085;&#1092;&#1072;&#1088;&#1082;&#1090;_&#1084;&#1080;&#1086;&#1082;&#1072;&#1088;&#1076;&#1072;_&#1089;_&#1087;&#1086;&#1076;&#1098;&#1077;&#1084;&#1086;&#1084;_&#1089;&#1077;&#1075;&#1084;&#1077;&#1085;&#1090;&#1072;_st_&#1101;&#1083;&#1077;&#1082;&#1090;&#1088;&#1086;&#1082;&#1072;&#1088;&#1076;&#1080;&#1086;&#1075;&#1088;&#1072;&#1084;&#1084;&#1099;" TargetMode="External"/><Relationship Id="rId32" Type="http://schemas.openxmlformats.org/officeDocument/2006/relationships/hyperlink" Target="https://library.mededtech.ru/rest/documents/888_20/#list_item_oqlnrv" TargetMode="External"/><Relationship Id="rId33" Type="http://schemas.openxmlformats.org/officeDocument/2006/relationships/hyperlink" Target="https://library.mededtech.ru/rest/documents/888_20/#list_item_vu17c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